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sz w:val="52"/>
          <w:szCs w:val="52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sz w:val="52"/>
          <w:szCs w:val="52"/>
        </w:rPr>
        <w:t>ERP(集团版)操作说明手册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By：刘洋洋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Date：2020.7.23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br w:type="page"/>
      </w:r>
    </w:p>
    <w:sdt>
      <w:sdtP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kern w:val="2"/>
          <w:sz w:val="21"/>
          <w:szCs w:val="21"/>
          <w:lang w:val="zh-CN"/>
        </w:rPr>
        <w:id w:val="1660573434"/>
      </w:sdtPr>
      <w:sdtEndP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kern w:val="2"/>
          <w:sz w:val="21"/>
          <w:szCs w:val="21"/>
          <w:lang w:val="en-US"/>
        </w:rPr>
      </w:sdtEndPr>
      <w:sdtContent>
        <w:p>
          <w:pPr>
            <w:pStyle w:val="19"/>
            <w:numPr>
              <w:ilvl w:val="0"/>
              <w:numId w:val="0"/>
            </w:numPr>
            <w:bidi w:val="0"/>
            <w:ind w:leftChars="0"/>
            <w:jc w:val="center"/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 w:val="0"/>
              <w:i w:val="0"/>
              <w:iCs w:val="0"/>
              <w:lang w:val="zh-CN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  <w:instrText xml:space="preserve">TOC \o "1-3" \h \z \u</w:instrText>
          </w:r>
          <w:r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instrText xml:space="preserve"> HYPERLINK \l _Toc818741605 </w:instrTex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1.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概述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_Toc818741605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_Toc1662428906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1.1.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软件概述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_Toc1662428906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_Toc1680375672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1.1.1.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软件用途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_Toc1680375672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_Toc516477607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1.1.2.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运行环境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_Toc516477607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_Toc310239675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1.1.3.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相关安装设备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_Toc310239675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_Toc107922809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1.2.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集团版系统简介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_Toc107922809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_Toc1382452795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2.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系统功能介绍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_Toc1382452795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5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_Toc1258548672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功能列表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_Toc1258548672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5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_Toc1861091001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登录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_Toc1861091001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_Toc1257135252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2.3.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会员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_Toc1257135252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_Toc1728061178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2.3.1.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会员资料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_Toc1728061178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_Toc955376618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2.3.2.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会员等级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_Toc955376618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7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_Toc279590107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2.3.3. </w:t>
          </w:r>
          <w:r>
            <w:rPr>
              <w:rFonts w:hint="eastAsia" w:ascii="微软雅黑" w:hAnsi="微软雅黑" w:eastAsia="微软雅黑" w:cs="微软雅黑"/>
              <w:i w:val="0"/>
              <w:iCs w:val="0"/>
            </w:rPr>
            <w:t>权益管理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_Toc279590107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7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_Toc376708713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2.4.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订单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_Toc376708713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9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_Toc561548035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2.4.1.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票务订单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_Toc561548035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9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_Toc1894679327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2.4.2.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充值流水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_Toc1894679327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10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_Toc987931173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2.4.3.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虚拟商品订单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_Toc987931173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11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_Toc1963149654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2.5.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商品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_Toc1963149654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11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_Toc717482270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2.5.1.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商品库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_Toc717482270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11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_Toc603833985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2.5.2.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商品分类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_Toc603833985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12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_Toc1777553820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2.6.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游戏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_Toc1777553820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13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_Toc1702039323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2.6.1.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游戏项目管理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_Toc1702039323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13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_Toc1692723621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2.6.2.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游戏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val="en-US" w:eastAsia="zh-CN"/>
            </w:rPr>
            <w:t>分类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_Toc1692723621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_Toc1890026338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2.7.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营销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_Toc1890026338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_Toc94556342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2.7.1.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卡券管理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_Toc94556342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14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_Toc70541214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val="en-US" w:eastAsia="zh-CN"/>
            </w:rPr>
            <w:t xml:space="preserve">2.7.2.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营销活动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_Toc70541214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15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_Toc175210554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2.8.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交易情况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_Toc175210554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15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_Toc563701041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2.9.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设置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_Toc563701041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_Toc1573029170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2.9.1.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门店管理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_Toc1573029170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_Toc230081973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2.9.2.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员工管理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_Toc230081973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16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_Toc1517155611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  <w:lang w:eastAsia="zh-CN"/>
            </w:rPr>
            <w:t xml:space="preserve">2.9.3.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个人资料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_Toc1517155611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18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instrText xml:space="preserve"> HYPERLINK \l _Toc1761013246 </w:instrText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i w:val="0"/>
              <w:iCs w:val="0"/>
            </w:rPr>
            <w:t xml:space="preserve">3. </w:t>
          </w:r>
          <w:r>
            <w:rPr>
              <w:rFonts w:hint="eastAsia" w:ascii="微软雅黑" w:hAnsi="微软雅黑" w:eastAsia="微软雅黑" w:cs="微软雅黑"/>
              <w:i w:val="0"/>
              <w:iCs w:val="0"/>
              <w:lang w:eastAsia="zh-CN"/>
            </w:rPr>
            <w:t>注意事项</w:t>
          </w:r>
          <w:r>
            <w:rPr>
              <w:i w:val="0"/>
              <w:iCs w:val="0"/>
            </w:rPr>
            <w:tab/>
          </w:r>
          <w:r>
            <w:rPr>
              <w:i w:val="0"/>
              <w:iCs w:val="0"/>
            </w:rPr>
            <w:fldChar w:fldCharType="begin"/>
          </w:r>
          <w:r>
            <w:rPr>
              <w:i w:val="0"/>
              <w:iCs w:val="0"/>
            </w:rPr>
            <w:instrText xml:space="preserve"> PAGEREF _Toc1761013246 </w:instrText>
          </w:r>
          <w:r>
            <w:rPr>
              <w:i w:val="0"/>
              <w:iCs w:val="0"/>
            </w:rPr>
            <w:fldChar w:fldCharType="separate"/>
          </w:r>
          <w:r>
            <w:rPr>
              <w:i w:val="0"/>
              <w:iCs w:val="0"/>
            </w:rPr>
            <w:t>18</w:t>
          </w:r>
          <w:r>
            <w:rPr>
              <w:i w:val="0"/>
              <w:iCs w:val="0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  <w:p>
          <w:pPr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Autospacing="0" w:afterAutospacing="0" w:line="360" w:lineRule="auto"/>
            <w:ind w:right="0" w:rightChars="0"/>
            <w:textAlignment w:val="auto"/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</w:pPr>
          <w:r>
            <w:rPr>
              <w:rFonts w:hint="eastAsia" w:ascii="微软雅黑" w:hAnsi="微软雅黑" w:eastAsia="微软雅黑" w:cs="微软雅黑"/>
              <w:bCs/>
              <w:i w:val="0"/>
              <w:iCs w:val="0"/>
            </w:rPr>
            <w:fldChar w:fldCharType="end"/>
          </w:r>
        </w:p>
      </w:sdtContent>
    </w:sdt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br w:type="page"/>
      </w:r>
    </w:p>
    <w:p>
      <w:pPr>
        <w:pStyle w:val="2"/>
        <w:numPr>
          <w:ilvl w:val="0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0" w:name="_Toc818741605"/>
      <w:r>
        <w:rPr>
          <w:rFonts w:hint="eastAsia" w:ascii="微软雅黑" w:hAnsi="微软雅黑" w:eastAsia="微软雅黑" w:cs="微软雅黑"/>
          <w:i w:val="0"/>
          <w:iCs w:val="0"/>
        </w:rPr>
        <w:t>概述</w:t>
      </w:r>
      <w:bookmarkEnd w:id="0"/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1" w:name="_Toc1662428906"/>
      <w:r>
        <w:rPr>
          <w:rFonts w:hint="eastAsia" w:ascii="微软雅黑" w:hAnsi="微软雅黑" w:eastAsia="微软雅黑" w:cs="微软雅黑"/>
          <w:i w:val="0"/>
          <w:iCs w:val="0"/>
        </w:rPr>
        <w:t>软件概述</w:t>
      </w:r>
      <w:bookmarkEnd w:id="1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" w:name="_Toc1680375672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软件用途</w:t>
      </w:r>
      <w:bookmarkEnd w:id="2"/>
    </w:p>
    <w:p>
      <w:pPr>
        <w:pStyle w:val="21"/>
        <w:spacing w:before="0" w:beforeAutospacing="0" w:after="0" w:afterAutospacing="0" w:line="360" w:lineRule="auto"/>
        <w:ind w:firstLine="0" w:firstLineChars="0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val="en-US" w:eastAsia="zh-CN" w:bidi="ar-SA"/>
        </w:rPr>
        <w:t>实现企业对内容资源、门店运营资源的统一管理。SoReal  ERP后台系统主要为各个乐园门店提供基本业务管理运营支持，包括销售过程管理、多层级组织架构管理、数据和资源管理。</w:t>
      </w:r>
    </w:p>
    <w:p>
      <w:pPr>
        <w:pStyle w:val="4"/>
        <w:numPr>
          <w:ilvl w:val="2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3" w:name="_Toc516477607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运行环境</w:t>
      </w:r>
      <w:bookmarkEnd w:id="3"/>
    </w:p>
    <w:tbl>
      <w:tblPr>
        <w:tblStyle w:val="18"/>
        <w:tblW w:w="82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2126"/>
        <w:gridCol w:w="4042"/>
      </w:tblGrid>
      <w:tr>
        <w:trPr>
          <w:trHeight w:val="454" w:hRule="exact"/>
        </w:trPr>
        <w:tc>
          <w:tcPr>
            <w:tcW w:w="2122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硬件</w:t>
            </w:r>
          </w:p>
        </w:tc>
        <w:tc>
          <w:tcPr>
            <w:tcW w:w="2126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操作系统</w:t>
            </w:r>
          </w:p>
        </w:tc>
        <w:tc>
          <w:tcPr>
            <w:tcW w:w="4042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详细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74" w:hRule="exact"/>
        </w:trPr>
        <w:tc>
          <w:tcPr>
            <w:tcW w:w="2122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Windows主机</w:t>
            </w:r>
          </w:p>
        </w:tc>
        <w:tc>
          <w:tcPr>
            <w:tcW w:w="2126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win10</w:t>
            </w:r>
          </w:p>
        </w:tc>
        <w:tc>
          <w:tcPr>
            <w:tcW w:w="4042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27寸显示器，1920*1080分辨率，8核，8G以上内存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4" w:name="_Toc310239675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相关安装设备</w:t>
      </w:r>
      <w:bookmarkEnd w:id="4"/>
    </w:p>
    <w:tbl>
      <w:tblPr>
        <w:tblStyle w:val="18"/>
        <w:tblW w:w="83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7013"/>
      </w:tblGrid>
      <w:tr>
        <w:trPr>
          <w:trHeight w:val="463" w:hRule="exact"/>
        </w:trPr>
        <w:tc>
          <w:tcPr>
            <w:tcW w:w="1306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序号</w:t>
            </w:r>
          </w:p>
        </w:tc>
        <w:tc>
          <w:tcPr>
            <w:tcW w:w="7013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程序名称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1306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1</w:t>
            </w:r>
          </w:p>
        </w:tc>
        <w:tc>
          <w:tcPr>
            <w:tcW w:w="7013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扫码枪/扫码盒子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5" w:name="_Toc107922809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集团版系统简介</w:t>
      </w:r>
      <w:bookmarkEnd w:id="5"/>
    </w:p>
    <w:p>
      <w:pPr>
        <w:pStyle w:val="21"/>
        <w:spacing w:before="0" w:beforeAutospacing="0" w:after="0" w:afterAutospacing="0" w:line="360" w:lineRule="auto"/>
        <w:ind w:firstLine="0" w:firstLineChars="0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</w:rPr>
        <w:t>集团版本主要用于企业资源管理、客户信息管理，可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lang w:eastAsia="zh-CN"/>
        </w:rPr>
        <w:t>统一掌控所有员工信息、会员数据、销售数据、资源内容等。</w:t>
      </w:r>
    </w:p>
    <w:p>
      <w:pPr>
        <w:pStyle w:val="21"/>
        <w:spacing w:before="0" w:beforeAutospacing="0" w:after="0" w:afterAutospacing="0" w:line="360" w:lineRule="auto"/>
        <w:ind w:firstLine="0" w:firstLineChars="0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</w:rPr>
        <w:t>集团统一负责创建商品库、游戏库、门店，配置集团员工账号权限和门店店长权限，可管理所有门店会员和订单内容，并可以查看所有下属门店的数据及相关分析。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</w:rPr>
      </w:pPr>
    </w:p>
    <w:p>
      <w:pPr>
        <w:pStyle w:val="2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6" w:name="_Toc1382452795"/>
      <w:r>
        <w:rPr>
          <w:rFonts w:hint="eastAsia" w:ascii="微软雅黑" w:hAnsi="微软雅黑" w:eastAsia="微软雅黑" w:cs="微软雅黑"/>
          <w:i w:val="0"/>
          <w:iCs w:val="0"/>
        </w:rPr>
        <w:t>系统功能介绍</w:t>
      </w:r>
      <w:bookmarkEnd w:id="6"/>
    </w:p>
    <w:p>
      <w:pPr>
        <w:pStyle w:val="3"/>
        <w:numPr>
          <w:ilvl w:val="1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7" w:name="_Toc1258548672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功能列表</w:t>
      </w:r>
      <w:bookmarkEnd w:id="7"/>
    </w:p>
    <w:tbl>
      <w:tblPr>
        <w:tblStyle w:val="17"/>
        <w:tblW w:w="8630" w:type="dxa"/>
        <w:tblInd w:w="-86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68"/>
        <w:gridCol w:w="1568"/>
        <w:gridCol w:w="5494"/>
      </w:tblGrid>
      <w:tr>
        <w:trPr>
          <w:trHeight w:val="462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功能模块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主要功能点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详细描述</w:t>
            </w:r>
          </w:p>
        </w:tc>
      </w:tr>
      <w:tr>
        <w:trPr>
          <w:trHeight w:val="270" w:hRule="atLeast"/>
        </w:trPr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登录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所属、角色、昵称、退出登录</w:t>
            </w:r>
          </w:p>
        </w:tc>
      </w:tr>
      <w:tr>
        <w:trPr>
          <w:trHeight w:val="270" w:hRule="atLeast"/>
        </w:trPr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首页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问候语、时间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会员资料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新增3个字段、账户余额、积分、消费记录新增2个字段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会员等级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等级、等级头像框、等级图片、获取条件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权益管理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创建权益礼包（等级权益包、TOP榜权益包）、焕真值规则设置</w:t>
            </w:r>
          </w:p>
        </w:tc>
      </w:tr>
      <w:tr>
        <w:trPr>
          <w:trHeight w:val="329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订单流水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138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虚拟订单流水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充值流水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380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商品库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游戏项目管理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游戏英文名称、游戏类型、体验要求、图片调序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游戏分类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</w:p>
        </w:tc>
      </w:tr>
      <w:tr>
        <w:trPr>
          <w:trHeight w:val="345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优惠券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优惠券</w:t>
            </w:r>
          </w:p>
        </w:tc>
      </w:tr>
      <w:tr>
        <w:trPr>
          <w:trHeight w:val="34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营销活动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创建H5推广活动（领取优惠券）</w:t>
            </w:r>
          </w:p>
        </w:tc>
      </w:tr>
      <w:tr>
        <w:trPr>
          <w:trHeight w:val="34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首页活动</w:t>
            </w:r>
          </w:p>
        </w:tc>
      </w:tr>
      <w:tr>
        <w:trPr>
          <w:trHeight w:val="345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交易概况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门店销售趋势</w:t>
            </w:r>
          </w:p>
        </w:tc>
      </w:tr>
      <w:tr>
        <w:trPr>
          <w:trHeight w:val="285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报表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日销售报表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月销售报表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380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设置</w:t>
            </w:r>
          </w:p>
        </w:tc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员工管理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38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门店管理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个人资料</w:t>
            </w:r>
          </w:p>
        </w:tc>
        <w:tc>
          <w:tcPr>
            <w:tcW w:w="5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</w:p>
    <w:p>
      <w:pPr>
        <w:pStyle w:val="3"/>
        <w:numPr>
          <w:ilvl w:val="1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8" w:name="_Toc1861091001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登录</w:t>
      </w:r>
      <w:bookmarkEnd w:id="8"/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t>ERP管理后台地址：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instrText xml:space="preserve"> HYPERLINK "https://erp.skylimit.com" </w:instrTex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Style w:val="16"/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t>https://erp.skylimit.com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end"/>
      </w:r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  <w:t>账号：手机号/员工账号（集团账号）</w:t>
      </w:r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  <w:t>密码：默认密码/个人设定密码</w:t>
      </w:r>
    </w:p>
    <w:p>
      <w:pPr>
        <w:pStyle w:val="3"/>
        <w:numPr>
          <w:ilvl w:val="1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9" w:name="_Toc1257135252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会员</w:t>
      </w:r>
      <w:bookmarkEnd w:id="9"/>
    </w:p>
    <w:p>
      <w:pPr>
        <w:pStyle w:val="4"/>
        <w:numPr>
          <w:ilvl w:val="2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" w:name="_Toc1728061178"/>
      <w:r>
        <w:rPr>
          <w:rFonts w:hint="eastAsia" w:ascii="微软雅黑" w:hAnsi="微软雅黑" w:eastAsia="微软雅黑" w:cs="微软雅黑"/>
          <w:i w:val="0"/>
          <w:iCs w:val="0"/>
        </w:rPr>
        <w:t>会员资料</w:t>
      </w:r>
      <w:bookmarkEnd w:id="10"/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展示所有门店的会员资料信息，可根据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</w:rPr>
        <w:t>会员/注册时间/注册门店/会员等级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u w:val="none"/>
        </w:rPr>
        <w:t>等条件筛查</w:t>
      </w:r>
      <w:r>
        <w:rPr>
          <w:rFonts w:hint="eastAsia" w:ascii="微软雅黑" w:hAnsi="微软雅黑" w:eastAsia="微软雅黑" w:cs="微软雅黑"/>
          <w:i w:val="0"/>
          <w:iCs w:val="0"/>
        </w:rPr>
        <w:t>数据。</w:t>
      </w:r>
    </w:p>
    <w:p>
      <w:pPr>
        <w:bidi w:val="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203450"/>
            <wp:effectExtent l="0" t="0" r="1651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0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点击“详情”可查看会员基本信息、会员钱包信息、消费记录等。</w:t>
      </w:r>
    </w:p>
    <w:p>
      <w:pPr>
        <w:bidi w:val="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231005" cy="2354580"/>
            <wp:effectExtent l="0" t="0" r="10795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31005" cy="2354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" w:name="_Toc955376618"/>
      <w:r>
        <w:rPr>
          <w:rFonts w:hint="eastAsia" w:ascii="微软雅黑" w:hAnsi="微软雅黑" w:eastAsia="微软雅黑" w:cs="微软雅黑"/>
          <w:i w:val="0"/>
          <w:iCs w:val="0"/>
        </w:rPr>
        <w:t>会员等级</w:t>
      </w:r>
      <w:bookmarkEnd w:id="11"/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制定/管理soreal会员的等级规则，适用于所有门店会员。根据会员消费情况统一升级/降级、发放会员权益。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2405" cy="1875155"/>
            <wp:effectExtent l="0" t="0" r="10795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75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" w:name="_Toc279590107"/>
      <w:r>
        <w:rPr>
          <w:rFonts w:hint="eastAsia" w:ascii="微软雅黑" w:hAnsi="微软雅黑" w:eastAsia="微软雅黑" w:cs="微软雅黑"/>
          <w:i w:val="0"/>
          <w:iCs w:val="0"/>
        </w:rPr>
        <w:t>权益管理</w:t>
      </w:r>
      <w:bookmarkEnd w:id="12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权益礼包</w:t>
      </w:r>
    </w:p>
    <w:p>
      <w:pPr>
        <w:jc w:val="left"/>
        <w:rPr>
          <w:rFonts w:hint="eastAsia" w:ascii="微软雅黑" w:hAnsi="微软雅黑" w:eastAsia="微软雅黑" w:cs="微软雅黑"/>
          <w:b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制定/管理等级权益、Top 榜的权益内容，以及分发规则。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1488440"/>
            <wp:effectExtent l="0" t="0" r="12065" b="1016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b="3526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629785" cy="3392170"/>
            <wp:effectExtent l="0" t="0" r="18415" b="1143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3392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点击“新增等级权益包”后进入编辑页面，填写内容并点击“确认”后返回列表页，并立即生效。</w:t>
      </w:r>
    </w:p>
    <w:p>
      <w:pPr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3778250"/>
            <wp:effectExtent l="0" t="0" r="14605" b="635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7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default" w:ascii="微软雅黑" w:hAnsi="微软雅黑" w:eastAsia="微软雅黑" w:cs="微软雅黑"/>
          <w:i w:val="0"/>
          <w:iCs w:val="0"/>
        </w:rPr>
        <w:t>焕真值规则</w:t>
      </w:r>
    </w:p>
    <w:p>
      <w:pPr>
        <w:rPr>
          <w:rFonts w:hint="eastAsia"/>
          <w:i w:val="0"/>
          <w:iCs w:val="0"/>
        </w:rPr>
      </w:pPr>
      <w:r>
        <w:rPr>
          <w:rFonts w:hint="default" w:ascii="微软雅黑" w:hAnsi="微软雅黑" w:eastAsia="微软雅黑" w:cs="微软雅黑"/>
          <w:i w:val="0"/>
          <w:iCs w:val="0"/>
        </w:rPr>
        <w:t>管理会员获得成长值的规则。</w:t>
      </w:r>
    </w:p>
    <w:p>
      <w:pPr>
        <w:jc w:val="both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i w:val="0"/>
          <w:iCs w:val="0"/>
        </w:rPr>
        <w:drawing>
          <wp:inline distT="0" distB="0" distL="114300" distR="114300">
            <wp:extent cx="5269230" cy="3458845"/>
            <wp:effectExtent l="0" t="0" r="13970" b="2095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58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</w:pPr>
      <w:bookmarkStart w:id="13" w:name="_Toc376708713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订单</w:t>
      </w:r>
      <w:bookmarkEnd w:id="13"/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14" w:name="_Toc561548035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票务订单</w:t>
      </w:r>
      <w:bookmarkEnd w:id="14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所有门店的游戏票订单流水数据，可根据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订单号/支付状态/渠道/支付方式/订单类型/会员/订单日期/门店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等条件筛查数据。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2679065"/>
            <wp:effectExtent l="0" t="0" r="13335" b="1333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79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“详情”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u w:val="none"/>
          <w:lang w:eastAsia="zh-CN"/>
        </w:rPr>
        <w:t>可</w:t>
      </w:r>
      <w:r>
        <w:rPr>
          <w:rFonts w:hint="eastAsia" w:ascii="微软雅黑" w:hAnsi="微软雅黑" w:eastAsia="微软雅黑" w:cs="微软雅黑"/>
          <w:i w:val="0"/>
          <w:iCs w:val="0"/>
        </w:rPr>
        <w:t>查看单笔订单的详细信息，包括支付信息、购买内容、票卡状态等。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0500" cy="1308100"/>
            <wp:effectExtent l="0" t="0" r="12700" b="1270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15" w:name="_Toc1894679327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充值流水</w:t>
      </w:r>
      <w:bookmarkEnd w:id="15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所有门店的充值流水数据，可根据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会员/渠道/状态/支付方式/门店/日期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等条件筛查数据。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2999740"/>
            <wp:effectExtent l="0" t="0" r="13970" b="2286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99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16" w:name="_Toc987931173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虚拟商品订单</w:t>
      </w:r>
      <w:bookmarkEnd w:id="16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所有门店虚拟商品订单流水数据，可根据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订单/状态/支付方式/会员/日期/门店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等条件筛查数据。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2302510"/>
            <wp:effectExtent l="0" t="0" r="13335" b="889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02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</w:pPr>
      <w:bookmarkStart w:id="17" w:name="_Toc1963149654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商品</w:t>
      </w:r>
      <w:bookmarkEnd w:id="17"/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18" w:name="_Toc717482270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商品库</w:t>
      </w:r>
      <w:bookmarkEnd w:id="18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集团商品数据库，用于各门店数据引用，以及在售商品的统一管理。可根据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商品名称/商品分类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筛查商品。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1899285"/>
            <wp:effectExtent l="0" t="0" r="14605" b="571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99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点击“新增商品”后进入编辑页面，录入信息并保存后则创建成功。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675" cy="2087245"/>
            <wp:effectExtent l="0" t="0" r="9525" b="2095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8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19" w:name="_Toc603833985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商品分类</w:t>
      </w:r>
      <w:bookmarkEnd w:id="19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商品分类，支持创建两级分类，用于管理员快速索引商品。支持创建两级分类，可编辑/删除分类。未被引用的分类允许“删除”操作。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1442085"/>
            <wp:effectExtent l="0" t="0" r="13335" b="5715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442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点击“新增子分类”后输入分类名称，点击“确定”后则创建成功。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2405" cy="1757680"/>
            <wp:effectExtent l="0" t="0" r="10795" b="2032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57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</w:pPr>
      <w:bookmarkStart w:id="20" w:name="_Toc1777553820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游戏</w:t>
      </w:r>
      <w:bookmarkEnd w:id="20"/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1" w:name="_Toc1702039323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游戏项目管理</w:t>
      </w:r>
      <w:bookmarkEnd w:id="21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游戏数据库，用于各门店引用数据。可根据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游戏名称、游戏分类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筛查数据。根据需要上架/下架游戏。下架状态，且未被引用的游戏允许“删除”操作。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617720" cy="2111375"/>
            <wp:effectExtent l="0" t="0" r="5080" b="22225"/>
            <wp:docPr id="1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点击“新增游戏”进入编辑页面，填写内容并点击“保存”后则创建成功,【游戏管理】页上架后方可对外开放使用。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426585" cy="2277110"/>
            <wp:effectExtent l="0" t="0" r="18415" b="8890"/>
            <wp:docPr id="1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26585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注：游戏ID需按标准填写，不可擅自更改</w:t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22" w:name="_Toc1692723621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游戏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分类</w:t>
      </w:r>
      <w:bookmarkEnd w:id="22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游戏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分类，用于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管理员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快速索引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游戏。点击“新增分类”，填写分类名称后可添加新的分类，支持创建两级分类，可编辑/删除分类。未被引用的分类允许“删除”操作。</w:t>
      </w:r>
    </w:p>
    <w:p>
      <w:pP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2085975"/>
            <wp:effectExtent l="0" t="0" r="10160" b="22225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</w:pPr>
      <w:bookmarkStart w:id="23" w:name="_Toc1890026338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营销</w:t>
      </w:r>
      <w:bookmarkEnd w:id="23"/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4" w:name="_Toc94556342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卡券管理</w:t>
      </w:r>
      <w:bookmarkEnd w:id="24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优惠券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创建/管理所有门店通用优惠券，主要用于发放会员权益-优惠券。可根据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u w:val="single"/>
          <w:lang w:eastAsia="zh-CN"/>
        </w:rPr>
        <w:t>优惠券名称、优惠券类型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筛查。可根据需要上架/下架、编辑、删除操作。“上架”的优惠券方可对外使用，未被引用的优惠券允许“下架”操作，已下架的优惠券允许“删除”操作。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1555115"/>
            <wp:effectExtent l="0" t="0" r="12065" b="19685"/>
            <wp:docPr id="2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25" w:name="_Toc70541214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营销活动</w:t>
      </w:r>
      <w:bookmarkEnd w:id="25"/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创建/管理所有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  <w:lang w:eastAsia="zh-CN"/>
        </w:rPr>
        <w:t>门店通用活动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，主要用于创建会员权益</w:t>
      </w:r>
      <w:r>
        <w:rPr>
          <w:rFonts w:hint="default" w:ascii="微软雅黑" w:hAnsi="微软雅黑" w:eastAsia="微软雅黑" w:cs="微软雅黑"/>
          <w:i w:val="0"/>
          <w:iCs w:val="0"/>
          <w:lang w:eastAsia="zh-CN"/>
        </w:rPr>
        <w:t>相关活动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。</w:t>
      </w:r>
    </w:p>
    <w:p>
      <w:pPr>
        <w:pStyle w:val="5"/>
        <w:bidi w:val="0"/>
        <w:rPr>
          <w:rFonts w:hint="eastAsia"/>
          <w:lang w:val="en-US" w:eastAsia="zh-CN"/>
        </w:rPr>
      </w:pPr>
      <w:r>
        <w:rPr>
          <w:rFonts w:hint="default"/>
          <w:lang w:eastAsia="zh-CN"/>
        </w:rPr>
        <w:t>会员邀请函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default" w:ascii="微软雅黑" w:hAnsi="微软雅黑" w:eastAsia="微软雅黑" w:cs="微软雅黑"/>
          <w:i w:val="0"/>
          <w:iCs w:val="0"/>
          <w:lang w:eastAsia="zh-CN"/>
        </w:rPr>
        <w:t>会员邀请</w:t>
      </w:r>
      <w:r>
        <w:rPr>
          <w:rFonts w:hint="default" w:ascii="微软雅黑" w:hAnsi="微软雅黑" w:eastAsia="微软雅黑" w:cs="微软雅黑"/>
          <w:i w:val="0"/>
          <w:iCs w:val="0"/>
          <w:lang w:eastAsia="zh-CN"/>
        </w:rPr>
        <w:t>函</w:t>
      </w:r>
      <w:r>
        <w:rPr>
          <w:rFonts w:hint="default" w:ascii="微软雅黑" w:hAnsi="微软雅黑" w:eastAsia="微软雅黑" w:cs="微软雅黑"/>
          <w:i w:val="0"/>
          <w:iCs w:val="0"/>
          <w:lang w:eastAsia="zh-CN"/>
        </w:rPr>
        <w:t>时会员特权之一，当会员达到要</w:t>
      </w:r>
      <w:bookmarkStart w:id="32" w:name="_GoBack"/>
      <w:bookmarkEnd w:id="32"/>
      <w:r>
        <w:rPr>
          <w:rFonts w:hint="default" w:ascii="微软雅黑" w:hAnsi="微软雅黑" w:eastAsia="微软雅黑" w:cs="微软雅黑"/>
          <w:i w:val="0"/>
          <w:iCs w:val="0"/>
          <w:lang w:eastAsia="zh-CN"/>
        </w:rPr>
        <w:t>求时即可获得对应等级的会员邀请函。</w:t>
      </w:r>
    </w:p>
    <w:p>
      <w:pPr>
        <w:bidi w:val="0"/>
        <w:jc w:val="center"/>
      </w:pPr>
      <w:r>
        <w:drawing>
          <wp:inline distT="0" distB="0" distL="114300" distR="114300">
            <wp:extent cx="5271770" cy="1116330"/>
            <wp:effectExtent l="0" t="0" r="11430" b="127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1912620"/>
            <wp:effectExtent l="0" t="0" r="14605" b="17780"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6" w:name="_Toc175210554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交易情况</w:t>
      </w:r>
      <w:bookmarkEnd w:id="26"/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实时查看各个门店的销售额及销售趋势，可根据门店/日期筛查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668270"/>
            <wp:effectExtent l="0" t="0" r="16510" b="2413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2"/>
        </w:numPr>
        <w:bidi w:val="0"/>
        <w:ind w:left="575" w:hanging="575"/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</w:pPr>
      <w:bookmarkStart w:id="27" w:name="_Toc563701041"/>
      <w:r>
        <w:rPr>
          <w:rFonts w:hint="eastAsia" w:ascii="微软雅黑" w:hAnsi="微软雅黑" w:eastAsia="微软雅黑" w:cs="微软雅黑"/>
          <w:b/>
          <w:i w:val="0"/>
          <w:iCs w:val="0"/>
          <w:lang w:eastAsia="zh-CN"/>
        </w:rPr>
        <w:t>设置</w:t>
      </w:r>
      <w:bookmarkEnd w:id="27"/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8" w:name="_Toc1573029170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门店管理</w:t>
      </w:r>
      <w:bookmarkEnd w:id="28"/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创建/管理所有下属门店账号，以及门店基本信息，可根据需求选择上架对应门店的小程序，上架后可在小程序上查看到对应的门店。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1568450"/>
            <wp:effectExtent l="0" t="0" r="10160" b="6350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68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29" w:name="_Toc230081973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员工管理</w:t>
      </w:r>
      <w:bookmarkEnd w:id="29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账号管理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创建/管理集团员工角色账号，并且可管理集团+门店的所有员工账号信息。默认展示集团员工列表，可通过门店筛选各门店员工账号。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078990"/>
            <wp:effectExtent l="0" t="0" r="16510" b="3810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78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可编辑员工资料、删除账号信息、重置账号密码，重置密码后密码为默认密码。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770" cy="2051050"/>
            <wp:effectExtent l="0" t="0" r="11430" b="6350"/>
            <wp:docPr id="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提示：为保证账号及数据安全，建议开通账号后员工及时自行修改密码。</w:t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角色分类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创建/管理集团角色权限。创建角色后再创建员工账号，给不同账号配置不同权限。支持编辑/删除操作，当角色未被任何账号引用时方可删除角色。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055" cy="1953260"/>
            <wp:effectExtent l="0" t="0" r="17145" b="2540"/>
            <wp:docPr id="2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新增角色时根据需要配置门店功能或集团功能。</w:t>
      </w:r>
    </w:p>
    <w:p>
      <w:pPr>
        <w:bidi w:val="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449955" cy="1804670"/>
            <wp:effectExtent l="0" t="0" r="4445" b="2413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449955" cy="1804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30" w:name="_Toc1517155611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个人资料</w:t>
      </w:r>
      <w:bookmarkEnd w:id="30"/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查看个人账号信息，支持自行修改账号密码。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1737360"/>
            <wp:effectExtent l="0" t="0" r="13335" b="15240"/>
            <wp:docPr id="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2"/>
        <w:bidi w:val="0"/>
        <w:rPr>
          <w:rFonts w:hint="eastAsia" w:ascii="微软雅黑" w:hAnsi="微软雅黑" w:eastAsia="微软雅黑" w:cs="微软雅黑"/>
          <w:b w:val="0"/>
          <w:i w:val="0"/>
          <w:iCs w:val="0"/>
        </w:rPr>
      </w:pPr>
      <w:bookmarkStart w:id="31" w:name="_Toc1761013246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注意事项</w:t>
      </w:r>
      <w:bookmarkEnd w:id="31"/>
    </w:p>
    <w:p>
      <w:pPr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浏览器：使用google浏览器。</w:t>
      </w:r>
    </w:p>
    <w:p>
      <w:pPr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为了集团数据及个人账号安全，谨慎登录/登出。</w:t>
      </w:r>
    </w:p>
    <w:p>
      <w:pPr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ERP创建的数据内容为集团统一管理资源，是所有对外数据及统计分析的基础。为满足多样性需求，所有操作权限较开放，管理者需理解所有业务内容，并严格按照要求操作，避免引起运营问题。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decorative"/>
    <w:pitch w:val="default"/>
    <w:sig w:usb0="00000000" w:usb1="00000000" w:usb2="00000000" w:usb3="00000000" w:csb0="80000000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-简">
    <w:panose1 w:val="02000000000000000000"/>
    <w:charset w:val="80"/>
    <w:family w:val="auto"/>
    <w:pitch w:val="default"/>
    <w:sig w:usb0="8000002F" w:usb1="0800004A" w:usb2="00000000" w:usb3="00000000" w:csb0="203E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Wingdings">
    <w:panose1 w:val="05000000000000000000"/>
    <w:charset w:val="00"/>
    <w:family w:val="decorative"/>
    <w:pitch w:val="default"/>
    <w:sig w:usb0="00000000" w:usb1="00000000" w:usb2="00000000" w:usb3="00000000" w:csb0="80000000" w:csb1="00000000"/>
  </w:font>
  <w:font w:name="Times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黑体">
    <w:altName w:val="汉仪中黑KW"/>
    <w:panose1 w:val="02010600040101010101"/>
    <w:charset w:val="86"/>
    <w:family w:val="modern"/>
    <w:pitch w:val="default"/>
    <w:sig w:usb0="00000000" w:usb1="00000000" w:usb2="00000016" w:usb3="00000000" w:csb0="0004001F" w:csb1="00000000"/>
  </w:font>
  <w:font w:name="兰亭黑-简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.pingfang sc">
    <w:altName w:val="苹方-简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Microsoft YaHei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兰亭黑-繁">
    <w:panose1 w:val="03000509000000000000"/>
    <w:charset w:val="88"/>
    <w:family w:val="auto"/>
    <w:pitch w:val="default"/>
    <w:sig w:usb0="00000001" w:usb1="080E0000" w:usb2="00000000" w:usb3="00000000" w:csb0="00100000" w:csb1="00000000"/>
  </w:font>
  <w:font w:name="-webkit-standar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94CAE"/>
    <w:multiLevelType w:val="multilevel"/>
    <w:tmpl w:val="5F194CAE"/>
    <w:lvl w:ilvl="0" w:tentative="0">
      <w:start w:val="1"/>
      <w:numFmt w:val="decimal"/>
      <w:pStyle w:val="2"/>
      <w:lvlText w:val="%1."/>
      <w:lvlJc w:val="left"/>
      <w:pPr>
        <w:ind w:left="432" w:leftChars="0" w:hanging="432" w:firstLineChars="0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leftChars="0" w:hanging="575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leftChars="0" w:hanging="720" w:firstLineChars="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leftChars="0" w:hanging="864" w:firstLineChars="0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leftChars="0" w:hanging="1008" w:firstLineChars="0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leftChars="0" w:hanging="1151" w:firstLineChars="0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leftChars="0" w:hanging="1296" w:firstLineChars="0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leftChars="0" w:hanging="1440" w:firstLineChars="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leftChars="0" w:hanging="1583" w:firstLineChars="0"/>
      </w:pPr>
      <w:rPr>
        <w:rFonts w:hint="default"/>
      </w:rPr>
    </w:lvl>
  </w:abstractNum>
  <w:abstractNum w:abstractNumId="1">
    <w:nsid w:val="5F2151E0"/>
    <w:multiLevelType w:val="singleLevel"/>
    <w:tmpl w:val="5F2151E0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FF8AFC"/>
    <w:rsid w:val="12FA3E60"/>
    <w:rsid w:val="1F3F3ED1"/>
    <w:rsid w:val="1FE6F155"/>
    <w:rsid w:val="1FEECE70"/>
    <w:rsid w:val="34F76D84"/>
    <w:rsid w:val="36F1F926"/>
    <w:rsid w:val="3DDE2043"/>
    <w:rsid w:val="3DEC6EB1"/>
    <w:rsid w:val="3FD72A45"/>
    <w:rsid w:val="3FEE7C20"/>
    <w:rsid w:val="4F950AB2"/>
    <w:rsid w:val="5EEF95E9"/>
    <w:rsid w:val="5FE5B8DB"/>
    <w:rsid w:val="6A72C502"/>
    <w:rsid w:val="6D10FDE3"/>
    <w:rsid w:val="6D3F6C0A"/>
    <w:rsid w:val="6D7D2B99"/>
    <w:rsid w:val="6FFFC953"/>
    <w:rsid w:val="73EFCDA4"/>
    <w:rsid w:val="774ECE8C"/>
    <w:rsid w:val="77FF7284"/>
    <w:rsid w:val="77FFB6B0"/>
    <w:rsid w:val="7B7E2FD1"/>
    <w:rsid w:val="7B9F6A13"/>
    <w:rsid w:val="7BF797A2"/>
    <w:rsid w:val="7BFEB0B9"/>
    <w:rsid w:val="7DB5F04C"/>
    <w:rsid w:val="7E7E83F1"/>
    <w:rsid w:val="7FFF5415"/>
    <w:rsid w:val="862F8FE3"/>
    <w:rsid w:val="9CADBAC4"/>
    <w:rsid w:val="9EDF7ABF"/>
    <w:rsid w:val="A5FF494E"/>
    <w:rsid w:val="BCE9C11A"/>
    <w:rsid w:val="BFE96E13"/>
    <w:rsid w:val="BFFF8AFC"/>
    <w:rsid w:val="C3FF3140"/>
    <w:rsid w:val="D6E44A0D"/>
    <w:rsid w:val="D9FF2B74"/>
    <w:rsid w:val="E9EF1A77"/>
    <w:rsid w:val="EDBD3406"/>
    <w:rsid w:val="EFFFA1CA"/>
    <w:rsid w:val="F7FF90A3"/>
    <w:rsid w:val="FB734712"/>
    <w:rsid w:val="FB8D1C0A"/>
    <w:rsid w:val="FBFBC4AF"/>
    <w:rsid w:val="FEF69408"/>
    <w:rsid w:val="FF3DB64F"/>
    <w:rsid w:val="FF3E4BAE"/>
    <w:rsid w:val="FF6B3445"/>
    <w:rsid w:val="FF732019"/>
    <w:rsid w:val="FFC95EF4"/>
    <w:rsid w:val="FFF7C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ind w:left="432" w:hanging="432"/>
      <w:outlineLvl w:val="0"/>
    </w:pPr>
    <w:rPr>
      <w:rFonts w:ascii="DengXian" w:hAnsi="DengXian" w:eastAsia="DengXian"/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DejaVu Sans" w:hAnsi="DejaVu Sans" w:eastAsia="方正黑体_GBK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left="720" w:hanging="72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DejaVu Sans" w:hAnsi="DejaVu Sans" w:eastAsia="方正黑体_GBK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DejaVu Sans" w:hAnsi="DejaVu Sans" w:eastAsia="方正黑体_GBK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DejaVu Sans" w:hAnsi="DejaVu Sans" w:eastAsia="方正黑体_GBK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DejaVu Sans" w:hAnsi="DejaVu Sans" w:eastAsia="方正黑体_GBK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ind w:left="420"/>
      <w:jc w:val="left"/>
    </w:pPr>
    <w:rPr>
      <w:rFonts w:asciiTheme="minorHAnsi" w:eastAsiaTheme="minorHAnsi"/>
      <w:i/>
      <w:iCs/>
      <w:sz w:val="20"/>
      <w:szCs w:val="20"/>
    </w:rPr>
  </w:style>
  <w:style w:type="paragraph" w:styleId="12">
    <w:name w:val="toc 1"/>
    <w:basedOn w:val="1"/>
    <w:next w:val="1"/>
    <w:qFormat/>
    <w:uiPriority w:val="0"/>
    <w:pPr>
      <w:spacing w:before="120" w:after="120"/>
      <w:jc w:val="left"/>
    </w:pPr>
    <w:rPr>
      <w:rFonts w:asciiTheme="minorHAnsi" w:eastAsiaTheme="minorHAnsi"/>
      <w:b/>
      <w:bCs/>
      <w:caps/>
      <w:sz w:val="20"/>
      <w:szCs w:val="20"/>
    </w:rPr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6">
    <w:name w:val="Hyperlink"/>
    <w:basedOn w:val="15"/>
    <w:qFormat/>
    <w:uiPriority w:val="0"/>
    <w:rPr>
      <w:color w:val="0000FF"/>
      <w:u w:val="single"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 w:val="28"/>
      <w:szCs w:val="28"/>
    </w:rPr>
  </w:style>
  <w:style w:type="paragraph" w:customStyle="1" w:styleId="20">
    <w:name w:val="List Paragraph"/>
    <w:basedOn w:val="1"/>
    <w:qFormat/>
    <w:uiPriority w:val="34"/>
    <w:pPr>
      <w:ind w:firstLine="420" w:firstLineChars="200"/>
    </w:pPr>
  </w:style>
  <w:style w:type="paragraph" w:customStyle="1" w:styleId="21">
    <w:name w:val="infoblue"/>
    <w:basedOn w:val="1"/>
    <w:qFormat/>
    <w:uiPriority w:val="0"/>
    <w:pPr>
      <w:widowControl/>
      <w:spacing w:before="100" w:beforeAutospacing="1" w:after="100" w:afterAutospacing="1" w:line="240" w:lineRule="atLeast"/>
      <w:ind w:firstLine="200" w:firstLineChars="200"/>
      <w:jc w:val="left"/>
    </w:pPr>
    <w:rPr>
      <w:i/>
      <w:iCs/>
      <w:color w:val="0000FF"/>
      <w:kern w:val="0"/>
      <w:szCs w:val="20"/>
    </w:rPr>
  </w:style>
  <w:style w:type="character" w:customStyle="1" w:styleId="22">
    <w:name w:val="font01"/>
    <w:basedOn w:val="15"/>
    <w:qFormat/>
    <w:uiPriority w:val="0"/>
    <w:rPr>
      <w:rFonts w:hint="eastAsia" w:ascii="兰亭黑-简" w:hAnsi="兰亭黑-简" w:eastAsia="兰亭黑-简" w:cs="兰亭黑-简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numbering" Target="numbering.xml"/><Relationship Id="rId32" Type="http://schemas.openxmlformats.org/officeDocument/2006/relationships/customXml" Target="../customXml/item1.xml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Office_2.5.0.4070_F1E327BC-269C-435d-A152-05C5408002CA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2020-07-26T07:19:00Z</dcterms:created>
  <dc:creator>apple</dc:creator>
  <cp:lastModifiedBy>apple</cp:lastModifiedBy>
  <dcterms:modified xsi:type="dcterms:W3CDTF">2020-08-28T09:59:38Z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2052-2.5.0.4070</vt:lpwstr>
  </property>
</Properties>
</file>